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48CBA" w14:textId="033027E6" w:rsidR="003E6E8F" w:rsidRPr="00BA59C3" w:rsidRDefault="00422A1B" w:rsidP="006C1115">
      <w:pPr>
        <w:jc w:val="center"/>
        <w:rPr>
          <w:rFonts w:cstheme="minorHAnsi"/>
          <w:b/>
          <w:bCs/>
          <w:color w:val="ED7D31" w:themeColor="accent2"/>
        </w:rPr>
      </w:pPr>
      <w:bookmarkStart w:id="0" w:name="_GoBack"/>
      <w:bookmarkEnd w:id="0"/>
      <w:r w:rsidRPr="00BA59C3">
        <w:rPr>
          <w:rFonts w:cstheme="minorHAnsi"/>
          <w:b/>
          <w:bCs/>
          <w:color w:val="ED7D31" w:themeColor="accent2"/>
        </w:rPr>
        <w:t>UNIVERSITY OF ILLINOIS AT URBANA-CHAMPAIGN</w:t>
      </w:r>
    </w:p>
    <w:p w14:paraId="74DAC776" w14:textId="6B6B6877" w:rsidR="006C1115" w:rsidRPr="00BA59C3" w:rsidRDefault="006C1115" w:rsidP="006C1115">
      <w:pPr>
        <w:jc w:val="center"/>
        <w:rPr>
          <w:rFonts w:cstheme="minorHAnsi"/>
          <w:b/>
          <w:bCs/>
          <w:color w:val="000000" w:themeColor="text1"/>
        </w:rPr>
      </w:pPr>
      <w:r w:rsidRPr="00BA59C3">
        <w:rPr>
          <w:rFonts w:cstheme="minorHAnsi"/>
          <w:b/>
          <w:bCs/>
        </w:rPr>
        <w:t>COVID-19 S</w:t>
      </w:r>
      <w:r w:rsidR="00C71809" w:rsidRPr="00BA59C3">
        <w:rPr>
          <w:rFonts w:cstheme="minorHAnsi"/>
          <w:b/>
          <w:bCs/>
        </w:rPr>
        <w:t>UMMER</w:t>
      </w:r>
      <w:r w:rsidRPr="00BA59C3">
        <w:rPr>
          <w:rFonts w:cstheme="minorHAnsi"/>
          <w:b/>
          <w:bCs/>
        </w:rPr>
        <w:t xml:space="preserve"> </w:t>
      </w:r>
      <w:r w:rsidR="00E902DA" w:rsidRPr="00BA59C3">
        <w:rPr>
          <w:rFonts w:cstheme="minorHAnsi"/>
          <w:b/>
          <w:bCs/>
        </w:rPr>
        <w:t xml:space="preserve">APPOINTMENT </w:t>
      </w:r>
      <w:r w:rsidR="008E30D9" w:rsidRPr="00BA59C3">
        <w:rPr>
          <w:rFonts w:cstheme="minorHAnsi"/>
          <w:b/>
          <w:bCs/>
          <w:color w:val="000000" w:themeColor="text1"/>
        </w:rPr>
        <w:t>GUIDANCE</w:t>
      </w:r>
    </w:p>
    <w:p w14:paraId="0822FBCC" w14:textId="77777777" w:rsidR="006C1115" w:rsidRPr="00C833FD" w:rsidRDefault="006C1115" w:rsidP="006C1115">
      <w:pPr>
        <w:rPr>
          <w:rFonts w:cstheme="minorHAnsi"/>
          <w:color w:val="000000" w:themeColor="text1"/>
        </w:rPr>
      </w:pPr>
    </w:p>
    <w:p w14:paraId="41227363" w14:textId="038E3960" w:rsidR="006C1115" w:rsidRPr="00C833FD" w:rsidRDefault="00BE3953" w:rsidP="006C1115">
      <w:pPr>
        <w:rPr>
          <w:rFonts w:cstheme="minorHAnsi"/>
          <w:color w:val="000000" w:themeColor="text1"/>
        </w:rPr>
      </w:pPr>
      <w:r>
        <w:rPr>
          <w:rFonts w:cstheme="minorHAnsi"/>
          <w:color w:val="000000" w:themeColor="text1"/>
        </w:rPr>
        <w:t>T</w:t>
      </w:r>
      <w:r w:rsidRPr="00C833FD">
        <w:rPr>
          <w:rFonts w:cstheme="minorHAnsi"/>
          <w:color w:val="000000" w:themeColor="text1"/>
        </w:rPr>
        <w:t>he following pr</w:t>
      </w:r>
      <w:r>
        <w:rPr>
          <w:rFonts w:cstheme="minorHAnsi"/>
          <w:color w:val="000000" w:themeColor="text1"/>
        </w:rPr>
        <w:t>otocol</w:t>
      </w:r>
      <w:r w:rsidRPr="00C833FD">
        <w:rPr>
          <w:rFonts w:cstheme="minorHAnsi"/>
          <w:color w:val="000000" w:themeColor="text1"/>
        </w:rPr>
        <w:t xml:space="preserve"> shall guide summer appointments </w:t>
      </w:r>
      <w:r>
        <w:rPr>
          <w:rFonts w:cstheme="minorHAnsi"/>
          <w:color w:val="000000" w:themeColor="text1"/>
        </w:rPr>
        <w:t>i</w:t>
      </w:r>
      <w:r w:rsidR="006C1115" w:rsidRPr="00C833FD">
        <w:rPr>
          <w:rFonts w:cstheme="minorHAnsi"/>
          <w:color w:val="000000" w:themeColor="text1"/>
        </w:rPr>
        <w:t xml:space="preserve">n the event the Champaign-Urbana campus remains under a </w:t>
      </w:r>
      <w:r w:rsidR="00856A19">
        <w:rPr>
          <w:rFonts w:cstheme="minorHAnsi"/>
          <w:color w:val="000000" w:themeColor="text1"/>
        </w:rPr>
        <w:t xml:space="preserve">full or partial </w:t>
      </w:r>
      <w:r w:rsidR="006C1115" w:rsidRPr="00C833FD">
        <w:rPr>
          <w:rFonts w:cstheme="minorHAnsi"/>
          <w:color w:val="000000" w:themeColor="text1"/>
        </w:rPr>
        <w:t>remote work policy due to COVID-19:</w:t>
      </w:r>
    </w:p>
    <w:p w14:paraId="61B1723B" w14:textId="77777777" w:rsidR="006C1115" w:rsidRPr="00C833FD" w:rsidRDefault="006C1115" w:rsidP="006C1115">
      <w:pPr>
        <w:rPr>
          <w:rFonts w:cstheme="minorHAnsi"/>
          <w:color w:val="000000" w:themeColor="text1"/>
        </w:rPr>
      </w:pPr>
    </w:p>
    <w:p w14:paraId="09998667" w14:textId="7D12F26E" w:rsidR="006C1115" w:rsidRPr="00C833FD" w:rsidRDefault="006C1115" w:rsidP="00245BA8">
      <w:pPr>
        <w:pStyle w:val="ListParagraph"/>
        <w:numPr>
          <w:ilvl w:val="0"/>
          <w:numId w:val="1"/>
        </w:numPr>
        <w:rPr>
          <w:rFonts w:eastAsia="Times New Roman" w:cstheme="minorHAnsi"/>
          <w:color w:val="000000" w:themeColor="text1"/>
        </w:rPr>
      </w:pPr>
      <w:r w:rsidRPr="00C833FD">
        <w:rPr>
          <w:rFonts w:eastAsia="Times New Roman" w:cstheme="minorHAnsi"/>
          <w:color w:val="000000" w:themeColor="text1"/>
        </w:rPr>
        <w:t xml:space="preserve">If an employee has approved summer funding </w:t>
      </w:r>
      <w:r w:rsidR="000F2EEE">
        <w:rPr>
          <w:rFonts w:eastAsia="Times New Roman" w:cstheme="minorHAnsi"/>
          <w:color w:val="000000" w:themeColor="text1"/>
        </w:rPr>
        <w:t xml:space="preserve">from any source of funds </w:t>
      </w:r>
      <w:r w:rsidRPr="00C833FD">
        <w:rPr>
          <w:rFonts w:eastAsia="Times New Roman" w:cstheme="minorHAnsi"/>
          <w:color w:val="000000" w:themeColor="text1"/>
        </w:rPr>
        <w:t xml:space="preserve">and </w:t>
      </w:r>
      <w:r w:rsidRPr="00C833FD">
        <w:rPr>
          <w:rFonts w:eastAsia="Times New Roman" w:cstheme="minorHAnsi"/>
          <w:color w:val="000000" w:themeColor="text1"/>
          <w:u w:val="single"/>
        </w:rPr>
        <w:t>can perform</w:t>
      </w:r>
      <w:r w:rsidRPr="00C833FD">
        <w:rPr>
          <w:rFonts w:eastAsia="Times New Roman" w:cstheme="minorHAnsi"/>
          <w:color w:val="000000" w:themeColor="text1"/>
        </w:rPr>
        <w:t xml:space="preserve"> </w:t>
      </w:r>
      <w:r w:rsidR="00E902DA">
        <w:rPr>
          <w:rFonts w:eastAsia="Times New Roman" w:cstheme="minorHAnsi"/>
          <w:color w:val="000000" w:themeColor="text1"/>
        </w:rPr>
        <w:t xml:space="preserve">their </w:t>
      </w:r>
      <w:r w:rsidR="00725791">
        <w:rPr>
          <w:rFonts w:eastAsia="Times New Roman" w:cstheme="minorHAnsi"/>
          <w:color w:val="000000" w:themeColor="text1"/>
        </w:rPr>
        <w:t>duties</w:t>
      </w:r>
      <w:r w:rsidR="00725791" w:rsidRPr="00C833FD">
        <w:rPr>
          <w:rFonts w:eastAsia="Times New Roman" w:cstheme="minorHAnsi"/>
          <w:color w:val="000000" w:themeColor="text1"/>
        </w:rPr>
        <w:t xml:space="preserve"> </w:t>
      </w:r>
      <w:r w:rsidR="002727FE" w:rsidRPr="00C833FD">
        <w:rPr>
          <w:rFonts w:eastAsia="Times New Roman" w:cstheme="minorHAnsi"/>
          <w:color w:val="000000" w:themeColor="text1"/>
        </w:rPr>
        <w:t xml:space="preserve">as identified in the </w:t>
      </w:r>
      <w:r w:rsidR="00D65432" w:rsidRPr="00C833FD">
        <w:rPr>
          <w:rFonts w:eastAsia="Times New Roman" w:cstheme="minorHAnsi"/>
          <w:color w:val="000000" w:themeColor="text1"/>
        </w:rPr>
        <w:t>awarded</w:t>
      </w:r>
      <w:r w:rsidR="002727FE" w:rsidRPr="00C833FD">
        <w:rPr>
          <w:rFonts w:eastAsia="Times New Roman" w:cstheme="minorHAnsi"/>
          <w:color w:val="000000" w:themeColor="text1"/>
        </w:rPr>
        <w:t xml:space="preserve"> scope of work or summer appointment</w:t>
      </w:r>
      <w:r w:rsidR="00D65432" w:rsidRPr="00C833FD">
        <w:rPr>
          <w:rFonts w:eastAsia="Times New Roman" w:cstheme="minorHAnsi"/>
          <w:color w:val="000000" w:themeColor="text1"/>
        </w:rPr>
        <w:t xml:space="preserve"> letter</w:t>
      </w:r>
      <w:r w:rsidR="002727FE" w:rsidRPr="00C833FD">
        <w:rPr>
          <w:rFonts w:eastAsia="Times New Roman" w:cstheme="minorHAnsi"/>
          <w:color w:val="000000" w:themeColor="text1"/>
        </w:rPr>
        <w:t xml:space="preserve">, regardless </w:t>
      </w:r>
      <w:r w:rsidR="001B5CFD" w:rsidRPr="00C833FD">
        <w:rPr>
          <w:rFonts w:eastAsia="Times New Roman" w:cstheme="minorHAnsi"/>
          <w:color w:val="000000" w:themeColor="text1"/>
        </w:rPr>
        <w:t xml:space="preserve">of whether </w:t>
      </w:r>
      <w:r w:rsidRPr="00C833FD">
        <w:rPr>
          <w:rFonts w:eastAsia="Times New Roman" w:cstheme="minorHAnsi"/>
          <w:color w:val="000000" w:themeColor="text1"/>
        </w:rPr>
        <w:t xml:space="preserve">onsite or remotely, </w:t>
      </w:r>
      <w:r w:rsidR="00725791">
        <w:rPr>
          <w:rFonts w:eastAsia="Times New Roman" w:cstheme="minorHAnsi"/>
          <w:color w:val="000000" w:themeColor="text1"/>
        </w:rPr>
        <w:t>the appointment</w:t>
      </w:r>
      <w:r w:rsidR="00725791" w:rsidRPr="00C833FD">
        <w:rPr>
          <w:rFonts w:eastAsia="Times New Roman" w:cstheme="minorHAnsi"/>
          <w:color w:val="000000" w:themeColor="text1"/>
        </w:rPr>
        <w:t xml:space="preserve"> </w:t>
      </w:r>
      <w:r w:rsidRPr="00C833FD">
        <w:rPr>
          <w:rFonts w:eastAsia="Times New Roman" w:cstheme="minorHAnsi"/>
          <w:color w:val="000000" w:themeColor="text1"/>
        </w:rPr>
        <w:t>should proceed as scheduled.</w:t>
      </w:r>
      <w:r w:rsidRPr="00C833FD">
        <w:rPr>
          <w:rFonts w:eastAsia="Times New Roman" w:cstheme="minorHAnsi"/>
          <w:color w:val="000000" w:themeColor="text1"/>
        </w:rPr>
        <w:br/>
      </w:r>
    </w:p>
    <w:p w14:paraId="7EB3B5B2" w14:textId="1555BD1F" w:rsidR="00322820" w:rsidRDefault="006C1115" w:rsidP="006C1115">
      <w:pPr>
        <w:pStyle w:val="ListParagraph"/>
        <w:numPr>
          <w:ilvl w:val="0"/>
          <w:numId w:val="1"/>
        </w:numPr>
        <w:rPr>
          <w:rFonts w:eastAsia="Times New Roman" w:cstheme="minorHAnsi"/>
          <w:color w:val="000000"/>
        </w:rPr>
      </w:pPr>
      <w:r w:rsidRPr="006C1115">
        <w:rPr>
          <w:rFonts w:eastAsia="Times New Roman" w:cstheme="minorHAnsi"/>
          <w:color w:val="000000"/>
        </w:rPr>
        <w:t xml:space="preserve">If an employee was scheduled for a summer appointment but </w:t>
      </w:r>
      <w:r w:rsidRPr="00C833FD">
        <w:rPr>
          <w:rFonts w:eastAsia="Times New Roman" w:cstheme="minorHAnsi"/>
          <w:color w:val="000000"/>
          <w:u w:val="single"/>
        </w:rPr>
        <w:t>cannot perform</w:t>
      </w:r>
      <w:r w:rsidR="00E902DA">
        <w:rPr>
          <w:rFonts w:eastAsia="Times New Roman" w:cstheme="minorHAnsi"/>
          <w:color w:val="000000"/>
        </w:rPr>
        <w:t xml:space="preserve"> their </w:t>
      </w:r>
      <w:r w:rsidR="00725791">
        <w:rPr>
          <w:rFonts w:eastAsia="Times New Roman" w:cstheme="minorHAnsi"/>
          <w:color w:val="000000"/>
        </w:rPr>
        <w:t>duties</w:t>
      </w:r>
      <w:r w:rsidRPr="006C1115">
        <w:rPr>
          <w:rFonts w:eastAsia="Times New Roman" w:cstheme="minorHAnsi"/>
          <w:color w:val="000000"/>
        </w:rPr>
        <w:t xml:space="preserve"> as identified in the awarded scope of work</w:t>
      </w:r>
      <w:r w:rsidR="00FB3B15">
        <w:rPr>
          <w:rFonts w:eastAsia="Times New Roman" w:cstheme="minorHAnsi"/>
          <w:color w:val="000000"/>
        </w:rPr>
        <w:t xml:space="preserve"> or summer appointment letter</w:t>
      </w:r>
      <w:r w:rsidRPr="006C1115">
        <w:rPr>
          <w:rFonts w:eastAsia="Times New Roman" w:cstheme="minorHAnsi"/>
          <w:color w:val="000000"/>
        </w:rPr>
        <w:t xml:space="preserve">, </w:t>
      </w:r>
      <w:r w:rsidR="00725791">
        <w:rPr>
          <w:rFonts w:eastAsia="Times New Roman" w:cstheme="minorHAnsi"/>
          <w:color w:val="000000"/>
        </w:rPr>
        <w:t>the unit is</w:t>
      </w:r>
      <w:r w:rsidRPr="006C1115">
        <w:rPr>
          <w:rFonts w:eastAsia="Times New Roman" w:cstheme="minorHAnsi"/>
          <w:color w:val="000000"/>
        </w:rPr>
        <w:t xml:space="preserve"> advised to contact the</w:t>
      </w:r>
      <w:r w:rsidR="00E902DA">
        <w:rPr>
          <w:rFonts w:eastAsia="Times New Roman" w:cstheme="minorHAnsi"/>
          <w:color w:val="000000"/>
        </w:rPr>
        <w:t xml:space="preserve"> </w:t>
      </w:r>
      <w:r>
        <w:rPr>
          <w:rFonts w:eastAsia="Times New Roman" w:cstheme="minorHAnsi"/>
          <w:color w:val="000000"/>
        </w:rPr>
        <w:t xml:space="preserve">sponsor’s </w:t>
      </w:r>
      <w:r w:rsidRPr="006C1115">
        <w:rPr>
          <w:rFonts w:eastAsia="Times New Roman" w:cstheme="minorHAnsi"/>
          <w:color w:val="000000"/>
        </w:rPr>
        <w:t xml:space="preserve">Program Officer to request a No Cost Extension </w:t>
      </w:r>
      <w:r>
        <w:rPr>
          <w:rFonts w:eastAsia="Times New Roman" w:cstheme="minorHAnsi"/>
          <w:color w:val="000000"/>
        </w:rPr>
        <w:t xml:space="preserve">to </w:t>
      </w:r>
      <w:r w:rsidRPr="006C1115">
        <w:rPr>
          <w:rFonts w:eastAsia="Times New Roman" w:cstheme="minorHAnsi"/>
          <w:color w:val="000000"/>
        </w:rPr>
        <w:t xml:space="preserve">defer the summer appointment to a future </w:t>
      </w:r>
      <w:r w:rsidR="00725791">
        <w:rPr>
          <w:rFonts w:eastAsia="Times New Roman" w:cstheme="minorHAnsi"/>
          <w:color w:val="000000"/>
        </w:rPr>
        <w:t>period</w:t>
      </w:r>
      <w:r w:rsidRPr="006C1115">
        <w:rPr>
          <w:rFonts w:eastAsia="Times New Roman" w:cstheme="minorHAnsi"/>
          <w:color w:val="000000"/>
        </w:rPr>
        <w:t>.</w:t>
      </w:r>
      <w:r w:rsidR="0039437E">
        <w:rPr>
          <w:rFonts w:eastAsia="Times New Roman" w:cstheme="minorHAnsi"/>
          <w:color w:val="000000"/>
        </w:rPr>
        <w:br/>
      </w:r>
    </w:p>
    <w:p w14:paraId="482D03F5" w14:textId="77777777" w:rsidR="00245BA8" w:rsidRDefault="00245BA8" w:rsidP="006C1115">
      <w:pPr>
        <w:rPr>
          <w:rFonts w:eastAsia="Times New Roman" w:cstheme="minorHAnsi"/>
          <w:color w:val="000000"/>
        </w:rPr>
      </w:pPr>
    </w:p>
    <w:p w14:paraId="11AD6438" w14:textId="2456D1FE" w:rsidR="006C1115" w:rsidRPr="00265258" w:rsidRDefault="006C1115" w:rsidP="006C1115">
      <w:pPr>
        <w:rPr>
          <w:rFonts w:eastAsia="Times New Roman" w:cstheme="minorHAnsi"/>
          <w:b/>
          <w:bCs/>
          <w:color w:val="000000"/>
        </w:rPr>
      </w:pPr>
      <w:r w:rsidRPr="00265258">
        <w:rPr>
          <w:rFonts w:eastAsia="Times New Roman" w:cstheme="minorHAnsi"/>
          <w:b/>
          <w:bCs/>
          <w:color w:val="000000"/>
        </w:rPr>
        <w:t>FREQUENTLY ASKED QUESTIONS</w:t>
      </w:r>
    </w:p>
    <w:p w14:paraId="31C2B938" w14:textId="164858D0" w:rsidR="006C1115" w:rsidRPr="00C833FD" w:rsidRDefault="006C1115" w:rsidP="006C1115">
      <w:pPr>
        <w:rPr>
          <w:rFonts w:eastAsia="Times New Roman" w:cstheme="minorHAnsi"/>
          <w:color w:val="000000" w:themeColor="text1"/>
        </w:rPr>
      </w:pPr>
    </w:p>
    <w:p w14:paraId="3C294019" w14:textId="647E209D" w:rsidR="0092709C" w:rsidRDefault="002727FE" w:rsidP="00D03A64">
      <w:pPr>
        <w:pStyle w:val="ListParagraph"/>
        <w:numPr>
          <w:ilvl w:val="0"/>
          <w:numId w:val="2"/>
        </w:numPr>
        <w:rPr>
          <w:iCs/>
        </w:rPr>
      </w:pPr>
      <w:r w:rsidRPr="002A03A1">
        <w:rPr>
          <w:rFonts w:eastAsia="Times New Roman" w:cstheme="minorHAnsi"/>
          <w:b/>
          <w:bCs/>
          <w:color w:val="000000" w:themeColor="text1"/>
        </w:rPr>
        <w:t>Does this protocol apply to all sources of funds (sponsored, institutional, gift, etc.)?</w:t>
      </w:r>
      <w:r w:rsidR="002A03A1" w:rsidRPr="002A03A1">
        <w:rPr>
          <w:rFonts w:eastAsia="Times New Roman" w:cstheme="minorHAnsi"/>
          <w:b/>
          <w:bCs/>
          <w:color w:val="000000" w:themeColor="text1"/>
        </w:rPr>
        <w:br/>
      </w:r>
      <w:r w:rsidR="002A03A1" w:rsidRPr="002A03A1">
        <w:rPr>
          <w:iCs/>
        </w:rPr>
        <w:t>Federal regulations normally require consistent treatment across all fund sources, including both sponsored and non-sponsored.  However, as a part of our remote work due to COVID-19, the university has determined that certain inconsistent treatment of salary costs that does not negatively impact sponsored projects may be permitted.  For example, if a unit decides to issue a summer appointment for an individual unable to work and that cost will be charged to institutional funds</w:t>
      </w:r>
      <w:r w:rsidR="00422A1B">
        <w:rPr>
          <w:iCs/>
        </w:rPr>
        <w:t>,</w:t>
      </w:r>
      <w:r w:rsidR="002A03A1" w:rsidRPr="002A03A1">
        <w:rPr>
          <w:iCs/>
        </w:rPr>
        <w:t xml:space="preserve"> the appointment will be allowed during the time the university is operating under remote work orders</w:t>
      </w:r>
      <w:r w:rsidR="000F2EEE">
        <w:rPr>
          <w:iCs/>
        </w:rPr>
        <w:t xml:space="preserve">.  </w:t>
      </w:r>
      <w:r w:rsidR="00EF1243">
        <w:rPr>
          <w:iCs/>
        </w:rPr>
        <w:t>We recommend the unit not offer a summer appointment unless the work can be completed remotely, however, t</w:t>
      </w:r>
      <w:r w:rsidR="00EF1243" w:rsidRPr="002A03A1">
        <w:rPr>
          <w:iCs/>
        </w:rPr>
        <w:t xml:space="preserve">he decision to make such an appointment continues to rest entirely with the unit authorizing the appointment.  </w:t>
      </w:r>
      <w:r w:rsidR="00EF1243">
        <w:rPr>
          <w:iCs/>
        </w:rPr>
        <w:t xml:space="preserve">A summer appointment for which the work cannot be completed </w:t>
      </w:r>
      <w:r w:rsidR="000F2EEE">
        <w:rPr>
          <w:iCs/>
        </w:rPr>
        <w:t xml:space="preserve">would not </w:t>
      </w:r>
      <w:r w:rsidR="00856A19">
        <w:rPr>
          <w:iCs/>
        </w:rPr>
        <w:t xml:space="preserve">be </w:t>
      </w:r>
      <w:r w:rsidR="000F2EEE">
        <w:rPr>
          <w:iCs/>
        </w:rPr>
        <w:t>permissible if the funds will be</w:t>
      </w:r>
      <w:r w:rsidR="000F2EEE" w:rsidRPr="002A03A1">
        <w:rPr>
          <w:iCs/>
        </w:rPr>
        <w:t xml:space="preserve"> used as cost-sharing on a sponsored award</w:t>
      </w:r>
      <w:r w:rsidR="00FB3B15">
        <w:rPr>
          <w:iCs/>
        </w:rPr>
        <w:t xml:space="preserve">.  </w:t>
      </w:r>
      <w:r w:rsidR="002A03A1" w:rsidRPr="002A03A1">
        <w:rPr>
          <w:iCs/>
        </w:rPr>
        <w:t xml:space="preserve">Sponsored funding or cost-sharing accounts may not be used to fund summer appointments unless they comply with the core requirements listed above.   </w:t>
      </w:r>
      <w:r w:rsidR="0092709C">
        <w:rPr>
          <w:iCs/>
        </w:rPr>
        <w:br/>
      </w:r>
    </w:p>
    <w:p w14:paraId="687A8659" w14:textId="77777777" w:rsidR="0092709C" w:rsidRPr="00C833FD" w:rsidRDefault="0092709C" w:rsidP="0092709C">
      <w:pPr>
        <w:pStyle w:val="ListParagraph"/>
        <w:numPr>
          <w:ilvl w:val="0"/>
          <w:numId w:val="2"/>
        </w:numPr>
        <w:rPr>
          <w:rFonts w:eastAsia="Times New Roman" w:cstheme="minorHAnsi"/>
          <w:b/>
          <w:bCs/>
          <w:color w:val="000000" w:themeColor="text1"/>
        </w:rPr>
      </w:pPr>
      <w:r w:rsidRPr="00C833FD">
        <w:rPr>
          <w:rFonts w:eastAsia="Times New Roman" w:cstheme="minorHAnsi"/>
          <w:b/>
          <w:bCs/>
          <w:color w:val="000000" w:themeColor="text1"/>
        </w:rPr>
        <w:t>Am I required to have approval from the sponsor to charge summer salary?</w:t>
      </w:r>
    </w:p>
    <w:p w14:paraId="6DC33D3C" w14:textId="3F80E943" w:rsidR="002A03A1" w:rsidRDefault="0092709C" w:rsidP="0092709C">
      <w:pPr>
        <w:pStyle w:val="ListParagraph"/>
        <w:ind w:left="360"/>
        <w:rPr>
          <w:iCs/>
        </w:rPr>
      </w:pPr>
      <w:r w:rsidRPr="00C833FD">
        <w:rPr>
          <w:rFonts w:eastAsia="Times New Roman" w:cstheme="minorHAnsi"/>
          <w:color w:val="000000" w:themeColor="text1"/>
        </w:rPr>
        <w:t xml:space="preserve">Yes.  Your award should indicate the employee is approved for charging summer </w:t>
      </w:r>
      <w:r>
        <w:rPr>
          <w:rFonts w:eastAsia="Times New Roman" w:cstheme="minorHAnsi"/>
          <w:color w:val="000000"/>
        </w:rPr>
        <w:t>salary to the sponsored project.</w:t>
      </w:r>
      <w:r>
        <w:rPr>
          <w:iCs/>
        </w:rPr>
        <w:br/>
      </w:r>
    </w:p>
    <w:p w14:paraId="0272D5C5" w14:textId="77777777" w:rsidR="0092709C" w:rsidRPr="0092709C" w:rsidRDefault="0092709C" w:rsidP="0092709C">
      <w:pPr>
        <w:pStyle w:val="ListParagraph"/>
        <w:numPr>
          <w:ilvl w:val="0"/>
          <w:numId w:val="2"/>
        </w:numPr>
        <w:rPr>
          <w:iCs/>
        </w:rPr>
      </w:pPr>
      <w:r>
        <w:rPr>
          <w:rFonts w:eastAsia="Times New Roman" w:cstheme="minorHAnsi"/>
          <w:b/>
          <w:bCs/>
          <w:color w:val="000000" w:themeColor="text1"/>
        </w:rPr>
        <w:t>Will I</w:t>
      </w:r>
      <w:r w:rsidRPr="00BE3953">
        <w:rPr>
          <w:rFonts w:eastAsia="Times New Roman" w:cstheme="minorHAnsi"/>
          <w:b/>
          <w:bCs/>
          <w:color w:val="000000" w:themeColor="text1"/>
        </w:rPr>
        <w:t xml:space="preserve"> continue to be paid over the summer months given my 9-month appointment is paid over 12 months</w:t>
      </w:r>
      <w:r>
        <w:rPr>
          <w:rFonts w:eastAsia="Times New Roman" w:cstheme="minorHAnsi"/>
          <w:b/>
          <w:bCs/>
          <w:color w:val="000000" w:themeColor="text1"/>
        </w:rPr>
        <w:t>?</w:t>
      </w:r>
      <w:r w:rsidRPr="00BE3953">
        <w:rPr>
          <w:rFonts w:eastAsia="Times New Roman" w:cstheme="minorHAnsi"/>
          <w:b/>
          <w:bCs/>
          <w:color w:val="000000" w:themeColor="text1"/>
        </w:rPr>
        <w:t xml:space="preserve">  </w:t>
      </w:r>
    </w:p>
    <w:p w14:paraId="5A126439" w14:textId="7AA13406" w:rsidR="0092709C" w:rsidRPr="002A03A1" w:rsidRDefault="0092709C" w:rsidP="0092709C">
      <w:pPr>
        <w:pStyle w:val="ListParagraph"/>
        <w:ind w:left="360"/>
        <w:rPr>
          <w:iCs/>
        </w:rPr>
      </w:pPr>
      <w:r w:rsidRPr="00BE3953">
        <w:rPr>
          <w:rFonts w:eastAsia="Times New Roman" w:cstheme="minorHAnsi"/>
          <w:color w:val="000000" w:themeColor="text1"/>
        </w:rPr>
        <w:t>Yes</w:t>
      </w:r>
      <w:r>
        <w:rPr>
          <w:rFonts w:eastAsia="Times New Roman" w:cstheme="minorHAnsi"/>
          <w:color w:val="000000" w:themeColor="text1"/>
        </w:rPr>
        <w:t xml:space="preserve">.  If you are an academic year service basis employee, your usual monthly salary will be paid in accordance </w:t>
      </w:r>
      <w:r w:rsidR="00856A19">
        <w:rPr>
          <w:rFonts w:eastAsia="Times New Roman" w:cstheme="minorHAnsi"/>
          <w:color w:val="000000" w:themeColor="text1"/>
        </w:rPr>
        <w:t xml:space="preserve">with </w:t>
      </w:r>
      <w:r>
        <w:rPr>
          <w:rFonts w:eastAsia="Times New Roman" w:cstheme="minorHAnsi"/>
          <w:color w:val="000000" w:themeColor="text1"/>
        </w:rPr>
        <w:t>your 9/12 contract.  However, any salary from a summer appointment, regardless of the source of funds, would not be paid unless the work is performed.</w:t>
      </w:r>
      <w:r>
        <w:rPr>
          <w:rFonts w:eastAsia="Times New Roman" w:cstheme="minorHAnsi"/>
          <w:color w:val="000000" w:themeColor="text1"/>
        </w:rPr>
        <w:br/>
      </w:r>
    </w:p>
    <w:p w14:paraId="73C8619A" w14:textId="77777777" w:rsidR="002A03A1" w:rsidRPr="0092709C" w:rsidRDefault="002A03A1" w:rsidP="0092709C">
      <w:pPr>
        <w:pStyle w:val="ListParagraph"/>
        <w:numPr>
          <w:ilvl w:val="0"/>
          <w:numId w:val="2"/>
        </w:numPr>
        <w:rPr>
          <w:rFonts w:eastAsia="Times New Roman" w:cstheme="minorHAnsi"/>
          <w:b/>
          <w:bCs/>
          <w:color w:val="000000"/>
        </w:rPr>
      </w:pPr>
      <w:r w:rsidRPr="0092709C">
        <w:rPr>
          <w:b/>
        </w:rPr>
        <w:lastRenderedPageBreak/>
        <w:t xml:space="preserve">My federal funding agency allows pay to continue if I am unable to work on my sponsored project because of COVID-19 (while I am unavoidably “idle”).   Do I have to follow this Summer Appointment policy?   </w:t>
      </w:r>
    </w:p>
    <w:p w14:paraId="69555830" w14:textId="7B283AF3" w:rsidR="002A03A1" w:rsidRDefault="002A03A1" w:rsidP="002A03A1">
      <w:pPr>
        <w:pStyle w:val="ListParagraph"/>
        <w:ind w:left="360"/>
      </w:pPr>
      <w:r>
        <w:t xml:space="preserve">The above guidance applies to those individuals receiving summer appointments only. For other employees who are on </w:t>
      </w:r>
      <w:r w:rsidRPr="00B32BE1">
        <w:rPr>
          <w:i/>
          <w:u w:val="single"/>
        </w:rPr>
        <w:t>continuing</w:t>
      </w:r>
      <w:r w:rsidRPr="00B32BE1">
        <w:t xml:space="preserve"> appointments on </w:t>
      </w:r>
      <w:r w:rsidRPr="00B32BE1">
        <w:rPr>
          <w:i/>
          <w:u w:val="single"/>
        </w:rPr>
        <w:t>continuing</w:t>
      </w:r>
      <w:r>
        <w:t xml:space="preserve"> sponsored awards only, “pay for no work” may be charged to the sponsored project if allowed by the sponsor.  Note that unless extended, federal flexibilities that allow pay for no work will expire June 17</w:t>
      </w:r>
      <w:r w:rsidRPr="00A01D3B">
        <w:rPr>
          <w:vertAlign w:val="superscript"/>
        </w:rPr>
        <w:t>th</w:t>
      </w:r>
      <w:r>
        <w:t xml:space="preserve">.   Contact SPA if you have questions about what rules apply to you.  In general, the requirements are as follows: </w:t>
      </w:r>
    </w:p>
    <w:p w14:paraId="0A252466" w14:textId="77777777" w:rsidR="002A03A1" w:rsidRDefault="002A03A1" w:rsidP="002A03A1">
      <w:pPr>
        <w:pStyle w:val="ListParagraph"/>
        <w:ind w:left="360"/>
      </w:pPr>
    </w:p>
    <w:tbl>
      <w:tblPr>
        <w:tblStyle w:val="TableGrid"/>
        <w:tblW w:w="0" w:type="auto"/>
        <w:tblInd w:w="360" w:type="dxa"/>
        <w:tblLook w:val="04A0" w:firstRow="1" w:lastRow="0" w:firstColumn="1" w:lastColumn="0" w:noHBand="0" w:noVBand="1"/>
      </w:tblPr>
      <w:tblGrid>
        <w:gridCol w:w="3010"/>
        <w:gridCol w:w="2925"/>
        <w:gridCol w:w="3055"/>
      </w:tblGrid>
      <w:tr w:rsidR="002A03A1" w:rsidRPr="00A01D3B" w14:paraId="72F165C2" w14:textId="77777777" w:rsidTr="00ED09AF">
        <w:tc>
          <w:tcPr>
            <w:tcW w:w="3010" w:type="dxa"/>
            <w:shd w:val="clear" w:color="auto" w:fill="ED7D31" w:themeFill="accent2"/>
          </w:tcPr>
          <w:p w14:paraId="4DF2134D" w14:textId="77777777" w:rsidR="002A03A1" w:rsidRPr="00A01D3B" w:rsidRDefault="002A03A1" w:rsidP="00ED09AF">
            <w:pPr>
              <w:pStyle w:val="ListParagraph"/>
              <w:ind w:left="0"/>
              <w:rPr>
                <w:b/>
              </w:rPr>
            </w:pPr>
          </w:p>
        </w:tc>
        <w:tc>
          <w:tcPr>
            <w:tcW w:w="2925" w:type="dxa"/>
            <w:shd w:val="clear" w:color="auto" w:fill="ED7D31" w:themeFill="accent2"/>
          </w:tcPr>
          <w:p w14:paraId="5ADB5E4B" w14:textId="77777777" w:rsidR="002A03A1" w:rsidRPr="00A01D3B" w:rsidRDefault="002A03A1" w:rsidP="00ED09AF">
            <w:pPr>
              <w:pStyle w:val="ListParagraph"/>
              <w:ind w:left="0"/>
              <w:rPr>
                <w:b/>
              </w:rPr>
            </w:pPr>
            <w:r w:rsidRPr="00A01D3B">
              <w:rPr>
                <w:b/>
              </w:rPr>
              <w:t>Non-Sponsored Funds</w:t>
            </w:r>
          </w:p>
        </w:tc>
        <w:tc>
          <w:tcPr>
            <w:tcW w:w="3055" w:type="dxa"/>
            <w:shd w:val="clear" w:color="auto" w:fill="ED7D31" w:themeFill="accent2"/>
          </w:tcPr>
          <w:p w14:paraId="2CBD3D9C" w14:textId="77777777" w:rsidR="002A03A1" w:rsidRPr="00A01D3B" w:rsidRDefault="002A03A1" w:rsidP="00ED09AF">
            <w:pPr>
              <w:pStyle w:val="ListParagraph"/>
              <w:ind w:left="0"/>
              <w:rPr>
                <w:b/>
              </w:rPr>
            </w:pPr>
            <w:r w:rsidRPr="00A01D3B">
              <w:rPr>
                <w:b/>
              </w:rPr>
              <w:t>Sponsored Funds</w:t>
            </w:r>
          </w:p>
        </w:tc>
      </w:tr>
      <w:tr w:rsidR="002A03A1" w14:paraId="57297EB7" w14:textId="77777777" w:rsidTr="00ED09AF">
        <w:tc>
          <w:tcPr>
            <w:tcW w:w="3010" w:type="dxa"/>
          </w:tcPr>
          <w:p w14:paraId="31D9A662" w14:textId="77777777" w:rsidR="002A03A1" w:rsidRDefault="002A03A1" w:rsidP="00ED09AF">
            <w:pPr>
              <w:pStyle w:val="ListParagraph"/>
              <w:ind w:left="0"/>
            </w:pPr>
            <w:r w:rsidRPr="00A01D3B">
              <w:rPr>
                <w:b/>
              </w:rPr>
              <w:t>Continuing employee who is able to work</w:t>
            </w:r>
            <w:r>
              <w:t xml:space="preserve"> (deemed essential for on-site work or able to work remotely)</w:t>
            </w:r>
          </w:p>
        </w:tc>
        <w:tc>
          <w:tcPr>
            <w:tcW w:w="2925" w:type="dxa"/>
          </w:tcPr>
          <w:p w14:paraId="05D0CE74" w14:textId="77777777" w:rsidR="002A03A1" w:rsidRDefault="002A03A1" w:rsidP="00ED09AF">
            <w:pPr>
              <w:pStyle w:val="ListParagraph"/>
              <w:ind w:left="0"/>
            </w:pPr>
            <w:r>
              <w:t>Allowed</w:t>
            </w:r>
          </w:p>
        </w:tc>
        <w:tc>
          <w:tcPr>
            <w:tcW w:w="3055" w:type="dxa"/>
          </w:tcPr>
          <w:p w14:paraId="368CEB3E" w14:textId="77777777" w:rsidR="002A03A1" w:rsidRDefault="002A03A1" w:rsidP="00ED09AF">
            <w:pPr>
              <w:pStyle w:val="ListParagraph"/>
              <w:ind w:left="0"/>
            </w:pPr>
            <w:r>
              <w:t>Allowed</w:t>
            </w:r>
          </w:p>
        </w:tc>
      </w:tr>
      <w:tr w:rsidR="002A03A1" w14:paraId="3441AF9E" w14:textId="77777777" w:rsidTr="00ED09AF">
        <w:tc>
          <w:tcPr>
            <w:tcW w:w="3010" w:type="dxa"/>
          </w:tcPr>
          <w:p w14:paraId="6DEF2079" w14:textId="77777777" w:rsidR="002A03A1" w:rsidRDefault="002A03A1" w:rsidP="00ED09AF">
            <w:pPr>
              <w:pStyle w:val="ListParagraph"/>
              <w:ind w:left="0"/>
            </w:pPr>
            <w:r w:rsidRPr="00A01D3B">
              <w:rPr>
                <w:b/>
              </w:rPr>
              <w:t>Continuing employee who is unable to work</w:t>
            </w:r>
            <w:r>
              <w:t xml:space="preserve"> remotely or not approved for on-site work</w:t>
            </w:r>
          </w:p>
        </w:tc>
        <w:tc>
          <w:tcPr>
            <w:tcW w:w="2925" w:type="dxa"/>
          </w:tcPr>
          <w:p w14:paraId="09BDB4AD" w14:textId="77777777" w:rsidR="002A03A1" w:rsidRDefault="002A03A1" w:rsidP="00ED09AF">
            <w:pPr>
              <w:pStyle w:val="ListParagraph"/>
              <w:ind w:left="0"/>
            </w:pPr>
            <w:r>
              <w:t>Allowed through the end of spring semester</w:t>
            </w:r>
          </w:p>
        </w:tc>
        <w:tc>
          <w:tcPr>
            <w:tcW w:w="3055" w:type="dxa"/>
          </w:tcPr>
          <w:p w14:paraId="4DC907EB" w14:textId="77777777" w:rsidR="002A03A1" w:rsidRDefault="002A03A1" w:rsidP="00ED09AF">
            <w:pPr>
              <w:pStyle w:val="ListParagraph"/>
              <w:ind w:left="0"/>
            </w:pPr>
            <w:r>
              <w:t>Allowed if permitted by sponsor; otherwise, cost must be moved to a non-sponsored fund source</w:t>
            </w:r>
          </w:p>
        </w:tc>
      </w:tr>
      <w:tr w:rsidR="002A03A1" w14:paraId="1638756E" w14:textId="77777777" w:rsidTr="00ED09AF">
        <w:tc>
          <w:tcPr>
            <w:tcW w:w="3010" w:type="dxa"/>
          </w:tcPr>
          <w:p w14:paraId="56FB13CB" w14:textId="77777777" w:rsidR="002A03A1" w:rsidRDefault="002A03A1" w:rsidP="00ED09AF">
            <w:pPr>
              <w:pStyle w:val="ListParagraph"/>
              <w:ind w:left="0"/>
            </w:pPr>
            <w:r w:rsidRPr="00A01D3B">
              <w:rPr>
                <w:b/>
              </w:rPr>
              <w:t>New employee or new appointment* able to work</w:t>
            </w:r>
            <w:r>
              <w:t xml:space="preserve"> (deemed essential for on-site work or able to work remotely) </w:t>
            </w:r>
          </w:p>
        </w:tc>
        <w:tc>
          <w:tcPr>
            <w:tcW w:w="2925" w:type="dxa"/>
          </w:tcPr>
          <w:p w14:paraId="793332F3" w14:textId="77777777" w:rsidR="002A03A1" w:rsidRDefault="002A03A1" w:rsidP="00ED09AF">
            <w:pPr>
              <w:pStyle w:val="ListParagraph"/>
              <w:ind w:left="0"/>
            </w:pPr>
            <w:r>
              <w:t>Allowed</w:t>
            </w:r>
          </w:p>
        </w:tc>
        <w:tc>
          <w:tcPr>
            <w:tcW w:w="3055" w:type="dxa"/>
          </w:tcPr>
          <w:p w14:paraId="3C369D2C" w14:textId="77777777" w:rsidR="002A03A1" w:rsidRDefault="002A03A1" w:rsidP="00ED09AF">
            <w:pPr>
              <w:pStyle w:val="ListParagraph"/>
              <w:ind w:left="0"/>
            </w:pPr>
            <w:r>
              <w:t>Allowed</w:t>
            </w:r>
          </w:p>
        </w:tc>
      </w:tr>
      <w:tr w:rsidR="002A03A1" w14:paraId="2C7EE765" w14:textId="77777777" w:rsidTr="00ED09AF">
        <w:tc>
          <w:tcPr>
            <w:tcW w:w="3010" w:type="dxa"/>
          </w:tcPr>
          <w:p w14:paraId="0EFDCBA4" w14:textId="77777777" w:rsidR="002A03A1" w:rsidRDefault="002A03A1" w:rsidP="00ED09AF">
            <w:pPr>
              <w:pStyle w:val="ListParagraph"/>
              <w:ind w:left="0"/>
            </w:pPr>
            <w:r w:rsidRPr="00A01D3B">
              <w:rPr>
                <w:b/>
              </w:rPr>
              <w:t>New employee or new appointment*</w:t>
            </w:r>
            <w:r>
              <w:t xml:space="preserve"> (including summer appointments for existing employee) </w:t>
            </w:r>
            <w:r w:rsidRPr="00A01D3B">
              <w:rPr>
                <w:b/>
              </w:rPr>
              <w:t>but unable to work</w:t>
            </w:r>
          </w:p>
        </w:tc>
        <w:tc>
          <w:tcPr>
            <w:tcW w:w="2925" w:type="dxa"/>
          </w:tcPr>
          <w:p w14:paraId="3979FB6A" w14:textId="77777777" w:rsidR="002A03A1" w:rsidRDefault="002A03A1" w:rsidP="00ED09AF">
            <w:pPr>
              <w:pStyle w:val="ListParagraph"/>
              <w:ind w:left="0"/>
            </w:pPr>
            <w:r>
              <w:t>Allowed at the discretion of the unit and if funding is available</w:t>
            </w:r>
          </w:p>
        </w:tc>
        <w:tc>
          <w:tcPr>
            <w:tcW w:w="3055" w:type="dxa"/>
          </w:tcPr>
          <w:p w14:paraId="17AEEB20" w14:textId="77777777" w:rsidR="002A03A1" w:rsidRDefault="002A03A1" w:rsidP="00ED09AF">
            <w:pPr>
              <w:pStyle w:val="ListParagraph"/>
              <w:ind w:left="0"/>
            </w:pPr>
            <w:r>
              <w:t xml:space="preserve">Not allowed </w:t>
            </w:r>
          </w:p>
        </w:tc>
      </w:tr>
    </w:tbl>
    <w:p w14:paraId="2777D37E" w14:textId="3592B13D" w:rsidR="002A03A1" w:rsidRPr="002A03A1" w:rsidRDefault="0092709C" w:rsidP="0092709C">
      <w:pPr>
        <w:pStyle w:val="ListParagraph"/>
        <w:ind w:left="360"/>
        <w:rPr>
          <w:rFonts w:eastAsia="Times New Roman" w:cstheme="minorHAnsi"/>
          <w:b/>
          <w:bCs/>
          <w:color w:val="FFFFFF" w:themeColor="background1"/>
        </w:rPr>
      </w:pPr>
      <w:r>
        <w:rPr>
          <w:rFonts w:eastAsia="Times New Roman" w:cstheme="minorHAnsi"/>
          <w:b/>
          <w:bCs/>
          <w:color w:val="FFFFFF" w:themeColor="background1"/>
        </w:rPr>
        <w:br/>
      </w:r>
    </w:p>
    <w:p w14:paraId="5B2F35E9" w14:textId="01F5971D" w:rsidR="006C1115" w:rsidRPr="00265258" w:rsidRDefault="006C1115" w:rsidP="006C1115">
      <w:pPr>
        <w:pStyle w:val="ListParagraph"/>
        <w:numPr>
          <w:ilvl w:val="0"/>
          <w:numId w:val="2"/>
        </w:numPr>
        <w:rPr>
          <w:rFonts w:eastAsia="Times New Roman" w:cstheme="minorHAnsi"/>
          <w:b/>
          <w:bCs/>
          <w:color w:val="000000"/>
        </w:rPr>
      </w:pPr>
      <w:r w:rsidRPr="00265258">
        <w:rPr>
          <w:rFonts w:eastAsia="Times New Roman" w:cstheme="minorHAnsi"/>
          <w:b/>
          <w:bCs/>
          <w:color w:val="000000"/>
        </w:rPr>
        <w:t>Who on campus needs to approve my summer appointment?</w:t>
      </w:r>
    </w:p>
    <w:p w14:paraId="45B2F5D9" w14:textId="584128A8" w:rsidR="006C1115" w:rsidRDefault="006C1115" w:rsidP="00265258">
      <w:pPr>
        <w:pStyle w:val="ListParagraph"/>
        <w:ind w:left="360"/>
        <w:rPr>
          <w:rFonts w:eastAsia="Times New Roman" w:cstheme="minorHAnsi"/>
          <w:color w:val="000000"/>
        </w:rPr>
      </w:pPr>
      <w:r w:rsidRPr="00265258">
        <w:rPr>
          <w:rFonts w:eastAsia="Times New Roman" w:cstheme="minorHAnsi"/>
          <w:color w:val="000000"/>
        </w:rPr>
        <w:t xml:space="preserve">You should follow your unit’s process for soliciting approvals for summer salary appointments.  In addition, your unit should follow the existing </w:t>
      </w:r>
      <w:hyperlink r:id="rId5" w:history="1">
        <w:r w:rsidRPr="00265258">
          <w:rPr>
            <w:rStyle w:val="Hyperlink"/>
            <w:rFonts w:eastAsia="Times New Roman" w:cstheme="minorHAnsi"/>
          </w:rPr>
          <w:t>campus policy</w:t>
        </w:r>
      </w:hyperlink>
      <w:r w:rsidRPr="00265258">
        <w:rPr>
          <w:rFonts w:eastAsia="Times New Roman" w:cstheme="minorHAnsi"/>
          <w:color w:val="000000"/>
        </w:rPr>
        <w:t xml:space="preserve"> on summer appointment</w:t>
      </w:r>
      <w:r w:rsidR="00D65432">
        <w:rPr>
          <w:rFonts w:eastAsia="Times New Roman" w:cstheme="minorHAnsi"/>
          <w:color w:val="000000"/>
        </w:rPr>
        <w:t xml:space="preserve"> exceptions.</w:t>
      </w:r>
      <w:r w:rsidR="00265258">
        <w:rPr>
          <w:rFonts w:eastAsia="Times New Roman" w:cstheme="minorHAnsi"/>
          <w:color w:val="000000"/>
        </w:rPr>
        <w:br/>
      </w:r>
    </w:p>
    <w:p w14:paraId="54EB72F6" w14:textId="7AF79000" w:rsidR="00265258" w:rsidRPr="002727FE" w:rsidRDefault="00D65432" w:rsidP="00265258">
      <w:pPr>
        <w:pStyle w:val="ListParagraph"/>
        <w:numPr>
          <w:ilvl w:val="0"/>
          <w:numId w:val="2"/>
        </w:numPr>
        <w:rPr>
          <w:rFonts w:eastAsia="Times New Roman" w:cstheme="minorHAnsi"/>
          <w:b/>
          <w:bCs/>
          <w:color w:val="000000"/>
        </w:rPr>
      </w:pPr>
      <w:r>
        <w:rPr>
          <w:rFonts w:eastAsia="Times New Roman" w:cstheme="minorHAnsi"/>
          <w:b/>
          <w:bCs/>
          <w:color w:val="000000"/>
        </w:rPr>
        <w:t>Does this protocol</w:t>
      </w:r>
      <w:r w:rsidR="002727FE" w:rsidRPr="002727FE">
        <w:rPr>
          <w:rFonts w:eastAsia="Times New Roman" w:cstheme="minorHAnsi"/>
          <w:b/>
          <w:bCs/>
          <w:color w:val="000000"/>
        </w:rPr>
        <w:t xml:space="preserve"> appl</w:t>
      </w:r>
      <w:r>
        <w:rPr>
          <w:rFonts w:eastAsia="Times New Roman" w:cstheme="minorHAnsi"/>
          <w:b/>
          <w:bCs/>
          <w:color w:val="000000"/>
        </w:rPr>
        <w:t>y</w:t>
      </w:r>
      <w:r w:rsidR="002727FE" w:rsidRPr="002727FE">
        <w:rPr>
          <w:rFonts w:eastAsia="Times New Roman" w:cstheme="minorHAnsi"/>
          <w:b/>
          <w:bCs/>
          <w:color w:val="000000"/>
        </w:rPr>
        <w:t xml:space="preserve"> to all summer months?</w:t>
      </w:r>
    </w:p>
    <w:p w14:paraId="4C79DA75" w14:textId="3D1E9B2C" w:rsidR="0039437E" w:rsidRDefault="002727FE" w:rsidP="0039437E">
      <w:pPr>
        <w:ind w:left="360"/>
        <w:rPr>
          <w:rFonts w:eastAsia="Times New Roman" w:cstheme="minorHAnsi"/>
          <w:color w:val="000000"/>
        </w:rPr>
      </w:pPr>
      <w:r>
        <w:rPr>
          <w:rFonts w:eastAsia="Times New Roman" w:cstheme="minorHAnsi"/>
          <w:color w:val="000000"/>
        </w:rPr>
        <w:t xml:space="preserve">Yes, the </w:t>
      </w:r>
      <w:r w:rsidR="00D65432">
        <w:rPr>
          <w:rFonts w:eastAsia="Times New Roman" w:cstheme="minorHAnsi"/>
          <w:color w:val="000000"/>
        </w:rPr>
        <w:t>protocol</w:t>
      </w:r>
      <w:r>
        <w:rPr>
          <w:rFonts w:eastAsia="Times New Roman" w:cstheme="minorHAnsi"/>
          <w:color w:val="000000"/>
        </w:rPr>
        <w:t xml:space="preserve"> applies to all summer appointments.  </w:t>
      </w:r>
      <w:r w:rsidR="00BF055D">
        <w:rPr>
          <w:rFonts w:eastAsia="Times New Roman" w:cstheme="minorHAnsi"/>
          <w:color w:val="000000"/>
        </w:rPr>
        <w:t xml:space="preserve">Sponsored Programs Administration </w:t>
      </w:r>
      <w:r w:rsidR="00D65432">
        <w:rPr>
          <w:rFonts w:eastAsia="Times New Roman" w:cstheme="minorHAnsi"/>
          <w:color w:val="000000"/>
        </w:rPr>
        <w:t>will</w:t>
      </w:r>
      <w:r>
        <w:rPr>
          <w:rFonts w:eastAsia="Times New Roman" w:cstheme="minorHAnsi"/>
          <w:color w:val="000000"/>
        </w:rPr>
        <w:t xml:space="preserve"> continue to monitor the </w:t>
      </w:r>
      <w:r w:rsidR="00D65432">
        <w:rPr>
          <w:rFonts w:eastAsia="Times New Roman" w:cstheme="minorHAnsi"/>
          <w:color w:val="000000"/>
        </w:rPr>
        <w:t xml:space="preserve">campus </w:t>
      </w:r>
      <w:r>
        <w:rPr>
          <w:rFonts w:eastAsia="Times New Roman" w:cstheme="minorHAnsi"/>
          <w:color w:val="000000"/>
        </w:rPr>
        <w:t xml:space="preserve">Remote Work Policy to determine if </w:t>
      </w:r>
      <w:r w:rsidR="00C833FD">
        <w:rPr>
          <w:rFonts w:eastAsia="Times New Roman" w:cstheme="minorHAnsi"/>
          <w:color w:val="000000"/>
        </w:rPr>
        <w:t xml:space="preserve">an </w:t>
      </w:r>
      <w:r>
        <w:rPr>
          <w:rFonts w:eastAsia="Times New Roman" w:cstheme="minorHAnsi"/>
          <w:color w:val="000000"/>
        </w:rPr>
        <w:t xml:space="preserve">adjustment to </w:t>
      </w:r>
      <w:r w:rsidR="00C833FD">
        <w:rPr>
          <w:rFonts w:eastAsia="Times New Roman" w:cstheme="minorHAnsi"/>
          <w:color w:val="000000"/>
        </w:rPr>
        <w:t>this guidance is</w:t>
      </w:r>
      <w:r w:rsidR="00D65432">
        <w:rPr>
          <w:rFonts w:eastAsia="Times New Roman" w:cstheme="minorHAnsi"/>
          <w:color w:val="000000"/>
        </w:rPr>
        <w:t xml:space="preserve"> needed</w:t>
      </w:r>
      <w:r w:rsidR="00E902DA">
        <w:rPr>
          <w:rFonts w:eastAsia="Times New Roman" w:cstheme="minorHAnsi"/>
          <w:color w:val="000000"/>
        </w:rPr>
        <w:t xml:space="preserve"> related to salaries paid from sponsored projects</w:t>
      </w:r>
      <w:r>
        <w:rPr>
          <w:rFonts w:eastAsia="Times New Roman" w:cstheme="minorHAnsi"/>
          <w:color w:val="000000"/>
        </w:rPr>
        <w:t>.</w:t>
      </w:r>
    </w:p>
    <w:p w14:paraId="72A69A7F" w14:textId="77777777" w:rsidR="003E4889" w:rsidRDefault="003E4889" w:rsidP="0039437E">
      <w:pPr>
        <w:ind w:left="360"/>
        <w:rPr>
          <w:rFonts w:eastAsia="Times New Roman" w:cstheme="minorHAnsi"/>
          <w:color w:val="000000"/>
        </w:rPr>
      </w:pPr>
    </w:p>
    <w:p w14:paraId="18592B0B" w14:textId="0902F0FD" w:rsidR="0039437E" w:rsidRPr="0039437E" w:rsidRDefault="0039437E" w:rsidP="0039437E">
      <w:pPr>
        <w:pStyle w:val="ListParagraph"/>
        <w:numPr>
          <w:ilvl w:val="0"/>
          <w:numId w:val="2"/>
        </w:numPr>
        <w:rPr>
          <w:rFonts w:eastAsia="Times New Roman" w:cstheme="minorHAnsi"/>
          <w:b/>
          <w:bCs/>
          <w:color w:val="000000"/>
        </w:rPr>
      </w:pPr>
      <w:r w:rsidRPr="0039437E">
        <w:rPr>
          <w:rFonts w:eastAsia="Times New Roman" w:cstheme="minorHAnsi"/>
          <w:b/>
          <w:bCs/>
          <w:color w:val="000000"/>
        </w:rPr>
        <w:t>If an employee can only perform a fraction of the work identified in the awarded scope of work, should the summer appointment only reflect the fraction of work to be performed</w:t>
      </w:r>
      <w:r>
        <w:rPr>
          <w:rFonts w:eastAsia="Times New Roman" w:cstheme="minorHAnsi"/>
          <w:b/>
          <w:bCs/>
          <w:color w:val="000000"/>
        </w:rPr>
        <w:t>?</w:t>
      </w:r>
      <w:r w:rsidRPr="0039437E">
        <w:rPr>
          <w:rFonts w:eastAsia="Times New Roman" w:cstheme="minorHAnsi"/>
          <w:b/>
          <w:bCs/>
          <w:color w:val="000000"/>
        </w:rPr>
        <w:t xml:space="preserve">   </w:t>
      </w:r>
    </w:p>
    <w:p w14:paraId="1B32AA44" w14:textId="745325A6" w:rsidR="0039437E" w:rsidRDefault="0039437E" w:rsidP="0039437E">
      <w:pPr>
        <w:pStyle w:val="ListParagraph"/>
        <w:ind w:left="360"/>
        <w:rPr>
          <w:rFonts w:eastAsia="Times New Roman" w:cstheme="minorHAnsi"/>
          <w:color w:val="000000"/>
        </w:rPr>
      </w:pPr>
      <w:r>
        <w:rPr>
          <w:rFonts w:eastAsia="Times New Roman" w:cstheme="minorHAnsi"/>
          <w:color w:val="000000"/>
        </w:rPr>
        <w:t>Yes.  The summer appointment should accurately reflect only the fraction of work that can be performed.  Any remaining summer effort</w:t>
      </w:r>
      <w:r w:rsidR="00BE3953">
        <w:rPr>
          <w:rFonts w:eastAsia="Times New Roman" w:cstheme="minorHAnsi"/>
          <w:color w:val="000000"/>
        </w:rPr>
        <w:t xml:space="preserve"> that cannot be performed</w:t>
      </w:r>
      <w:r>
        <w:rPr>
          <w:rFonts w:eastAsia="Times New Roman" w:cstheme="minorHAnsi"/>
          <w:color w:val="000000"/>
        </w:rPr>
        <w:t xml:space="preserve"> should be deferred </w:t>
      </w:r>
      <w:r>
        <w:rPr>
          <w:rFonts w:eastAsia="Times New Roman" w:cstheme="minorHAnsi"/>
          <w:color w:val="000000"/>
        </w:rPr>
        <w:lastRenderedPageBreak/>
        <w:t xml:space="preserve">to </w:t>
      </w:r>
      <w:r w:rsidR="00BF055D">
        <w:rPr>
          <w:rFonts w:eastAsia="Times New Roman" w:cstheme="minorHAnsi"/>
          <w:color w:val="000000"/>
        </w:rPr>
        <w:t>a future period</w:t>
      </w:r>
      <w:r>
        <w:rPr>
          <w:rFonts w:eastAsia="Times New Roman" w:cstheme="minorHAnsi"/>
          <w:color w:val="000000"/>
        </w:rPr>
        <w:t>.</w:t>
      </w:r>
      <w:r w:rsidR="00BE3953">
        <w:rPr>
          <w:rFonts w:eastAsia="Times New Roman" w:cstheme="minorHAnsi"/>
          <w:color w:val="000000"/>
        </w:rPr>
        <w:t xml:space="preserve">  If the source of funding is sponsored, this may necessitate a no-cost extension request to the sponsor.</w:t>
      </w:r>
      <w:r>
        <w:rPr>
          <w:rFonts w:eastAsia="Times New Roman" w:cstheme="minorHAnsi"/>
          <w:color w:val="000000"/>
        </w:rPr>
        <w:t xml:space="preserve"> </w:t>
      </w:r>
    </w:p>
    <w:p w14:paraId="23CFCCD0" w14:textId="77777777" w:rsidR="002727FE" w:rsidRDefault="002727FE" w:rsidP="002727FE">
      <w:pPr>
        <w:pStyle w:val="ListParagraph"/>
        <w:ind w:left="360"/>
        <w:rPr>
          <w:rFonts w:eastAsia="Times New Roman" w:cstheme="minorHAnsi"/>
          <w:color w:val="000000"/>
        </w:rPr>
      </w:pPr>
    </w:p>
    <w:p w14:paraId="75F11017" w14:textId="2C60C22B" w:rsidR="002727FE" w:rsidRPr="002727FE" w:rsidRDefault="00245BA8" w:rsidP="002727FE">
      <w:pPr>
        <w:pStyle w:val="ListParagraph"/>
        <w:numPr>
          <w:ilvl w:val="0"/>
          <w:numId w:val="2"/>
        </w:numPr>
        <w:rPr>
          <w:rFonts w:eastAsia="Times New Roman" w:cstheme="minorHAnsi"/>
          <w:b/>
          <w:bCs/>
          <w:color w:val="000000"/>
        </w:rPr>
      </w:pPr>
      <w:r>
        <w:rPr>
          <w:rFonts w:eastAsia="Times New Roman" w:cstheme="minorHAnsi"/>
          <w:b/>
          <w:bCs/>
          <w:color w:val="000000"/>
        </w:rPr>
        <w:t xml:space="preserve">Do </w:t>
      </w:r>
      <w:r w:rsidR="00D65432">
        <w:rPr>
          <w:rFonts w:eastAsia="Times New Roman" w:cstheme="minorHAnsi"/>
          <w:b/>
          <w:bCs/>
          <w:color w:val="000000"/>
        </w:rPr>
        <w:t>any</w:t>
      </w:r>
      <w:r>
        <w:rPr>
          <w:rFonts w:eastAsia="Times New Roman" w:cstheme="minorHAnsi"/>
          <w:b/>
          <w:bCs/>
          <w:color w:val="000000"/>
        </w:rPr>
        <w:t xml:space="preserve"> existing</w:t>
      </w:r>
      <w:r w:rsidR="00F956A4">
        <w:rPr>
          <w:rFonts w:eastAsia="Times New Roman" w:cstheme="minorHAnsi"/>
          <w:b/>
          <w:bCs/>
          <w:color w:val="000000"/>
        </w:rPr>
        <w:t xml:space="preserve"> sponsored limitations on the number of months</w:t>
      </w:r>
      <w:r w:rsidR="00BF055D">
        <w:rPr>
          <w:rFonts w:eastAsia="Times New Roman" w:cstheme="minorHAnsi"/>
          <w:b/>
          <w:bCs/>
          <w:color w:val="000000"/>
        </w:rPr>
        <w:t xml:space="preserve"> or amount of salary</w:t>
      </w:r>
      <w:r w:rsidR="00F956A4">
        <w:rPr>
          <w:rFonts w:eastAsia="Times New Roman" w:cstheme="minorHAnsi"/>
          <w:b/>
          <w:bCs/>
          <w:color w:val="000000"/>
        </w:rPr>
        <w:t xml:space="preserve"> I can be paid remain in effect</w:t>
      </w:r>
      <w:r w:rsidR="002727FE" w:rsidRPr="002727FE">
        <w:rPr>
          <w:rFonts w:eastAsia="Times New Roman" w:cstheme="minorHAnsi"/>
          <w:b/>
          <w:bCs/>
          <w:color w:val="000000"/>
        </w:rPr>
        <w:t>?</w:t>
      </w:r>
    </w:p>
    <w:p w14:paraId="3C033BF7" w14:textId="09252052" w:rsidR="002727FE" w:rsidRDefault="002727FE" w:rsidP="002727FE">
      <w:pPr>
        <w:ind w:left="360"/>
        <w:rPr>
          <w:rFonts w:eastAsia="Times New Roman" w:cstheme="minorHAnsi"/>
          <w:color w:val="000000"/>
        </w:rPr>
      </w:pPr>
      <w:r>
        <w:rPr>
          <w:rFonts w:eastAsia="Times New Roman" w:cstheme="minorHAnsi"/>
          <w:color w:val="000000"/>
        </w:rPr>
        <w:t>Yes</w:t>
      </w:r>
      <w:r w:rsidR="00F956A4">
        <w:rPr>
          <w:rFonts w:eastAsia="Times New Roman" w:cstheme="minorHAnsi"/>
          <w:color w:val="000000"/>
        </w:rPr>
        <w:t>.  Any appointment</w:t>
      </w:r>
      <w:r w:rsidR="00D65432">
        <w:rPr>
          <w:rFonts w:eastAsia="Times New Roman" w:cstheme="minorHAnsi"/>
          <w:color w:val="000000"/>
        </w:rPr>
        <w:t xml:space="preserve"> paid from sponsored funds</w:t>
      </w:r>
      <w:r w:rsidR="00F956A4">
        <w:rPr>
          <w:rFonts w:eastAsia="Times New Roman" w:cstheme="minorHAnsi"/>
          <w:color w:val="000000"/>
        </w:rPr>
        <w:t xml:space="preserve"> must comply with</w:t>
      </w:r>
      <w:r w:rsidR="00245BA8">
        <w:rPr>
          <w:rFonts w:eastAsia="Times New Roman" w:cstheme="minorHAnsi"/>
          <w:color w:val="000000"/>
        </w:rPr>
        <w:t xml:space="preserve"> the</w:t>
      </w:r>
      <w:r w:rsidR="00F956A4">
        <w:rPr>
          <w:rFonts w:eastAsia="Times New Roman" w:cstheme="minorHAnsi"/>
          <w:color w:val="000000"/>
        </w:rPr>
        <w:t xml:space="preserve"> imposed sponsored limitation</w:t>
      </w:r>
      <w:r w:rsidR="00D65432">
        <w:rPr>
          <w:rFonts w:eastAsia="Times New Roman" w:cstheme="minorHAnsi"/>
          <w:color w:val="000000"/>
        </w:rPr>
        <w:t xml:space="preserve">s </w:t>
      </w:r>
      <w:r w:rsidR="00F956A4">
        <w:rPr>
          <w:rFonts w:eastAsia="Times New Roman" w:cstheme="minorHAnsi"/>
          <w:color w:val="000000"/>
        </w:rPr>
        <w:t>on compensation.</w:t>
      </w:r>
    </w:p>
    <w:p w14:paraId="3CA7D4A1" w14:textId="77777777" w:rsidR="002A03A1" w:rsidRPr="002727FE" w:rsidRDefault="002A03A1" w:rsidP="002A03A1">
      <w:pPr>
        <w:rPr>
          <w:rFonts w:eastAsia="Times New Roman" w:cstheme="minorHAnsi"/>
          <w:color w:val="000000"/>
        </w:rPr>
      </w:pPr>
    </w:p>
    <w:sectPr w:rsidR="002A03A1" w:rsidRPr="002727FE" w:rsidSect="00FF1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1E14"/>
    <w:multiLevelType w:val="hybridMultilevel"/>
    <w:tmpl w:val="02C6D062"/>
    <w:lvl w:ilvl="0" w:tplc="C7F23E74">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1C31D9"/>
    <w:multiLevelType w:val="hybridMultilevel"/>
    <w:tmpl w:val="2F961C04"/>
    <w:lvl w:ilvl="0" w:tplc="04090001">
      <w:start w:val="1"/>
      <w:numFmt w:val="bullet"/>
      <w:lvlText w:val=""/>
      <w:lvlJc w:val="left"/>
      <w:pPr>
        <w:ind w:left="360" w:hanging="360"/>
      </w:pPr>
      <w:rPr>
        <w:rFonts w:ascii="Symbol" w:hAnsi="Symbol" w:cs="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CF1A65"/>
    <w:multiLevelType w:val="multilevel"/>
    <w:tmpl w:val="70140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1F0503"/>
    <w:multiLevelType w:val="hybridMultilevel"/>
    <w:tmpl w:val="EFFE6A2A"/>
    <w:lvl w:ilvl="0" w:tplc="8D9E84B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115"/>
    <w:rsid w:val="000856C7"/>
    <w:rsid w:val="000C2525"/>
    <w:rsid w:val="000F2EEE"/>
    <w:rsid w:val="001810AD"/>
    <w:rsid w:val="001B5CFD"/>
    <w:rsid w:val="00212C3C"/>
    <w:rsid w:val="00245BA8"/>
    <w:rsid w:val="00265258"/>
    <w:rsid w:val="002727FE"/>
    <w:rsid w:val="002839AC"/>
    <w:rsid w:val="002A03A1"/>
    <w:rsid w:val="00383000"/>
    <w:rsid w:val="0039437E"/>
    <w:rsid w:val="003E4889"/>
    <w:rsid w:val="003E6E8F"/>
    <w:rsid w:val="00422A1B"/>
    <w:rsid w:val="004263EA"/>
    <w:rsid w:val="004E62DD"/>
    <w:rsid w:val="005C31B8"/>
    <w:rsid w:val="00612329"/>
    <w:rsid w:val="006C1115"/>
    <w:rsid w:val="00725791"/>
    <w:rsid w:val="007E1FEE"/>
    <w:rsid w:val="00826996"/>
    <w:rsid w:val="00856A19"/>
    <w:rsid w:val="00871672"/>
    <w:rsid w:val="008E30D9"/>
    <w:rsid w:val="0092709C"/>
    <w:rsid w:val="009F794C"/>
    <w:rsid w:val="00A24C82"/>
    <w:rsid w:val="00A504A4"/>
    <w:rsid w:val="00AD20E2"/>
    <w:rsid w:val="00B14DE2"/>
    <w:rsid w:val="00B30337"/>
    <w:rsid w:val="00B44EE1"/>
    <w:rsid w:val="00BA59C3"/>
    <w:rsid w:val="00BC0A5C"/>
    <w:rsid w:val="00BE3953"/>
    <w:rsid w:val="00BF055D"/>
    <w:rsid w:val="00C26C9C"/>
    <w:rsid w:val="00C71809"/>
    <w:rsid w:val="00C833FD"/>
    <w:rsid w:val="00CB4C25"/>
    <w:rsid w:val="00D65432"/>
    <w:rsid w:val="00D72605"/>
    <w:rsid w:val="00E902DA"/>
    <w:rsid w:val="00E91AEA"/>
    <w:rsid w:val="00EC3CE8"/>
    <w:rsid w:val="00EF1243"/>
    <w:rsid w:val="00F956A4"/>
    <w:rsid w:val="00F965D7"/>
    <w:rsid w:val="00FB3B15"/>
    <w:rsid w:val="00FF1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7A81"/>
  <w15:chartTrackingRefBased/>
  <w15:docId w15:val="{6CD3A7E6-7AC0-9F47-9F1C-76968A275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115"/>
    <w:pPr>
      <w:ind w:left="720"/>
      <w:contextualSpacing/>
    </w:pPr>
  </w:style>
  <w:style w:type="character" w:styleId="Hyperlink">
    <w:name w:val="Hyperlink"/>
    <w:basedOn w:val="DefaultParagraphFont"/>
    <w:uiPriority w:val="99"/>
    <w:unhideWhenUsed/>
    <w:rsid w:val="006C1115"/>
    <w:rPr>
      <w:color w:val="0563C1" w:themeColor="hyperlink"/>
      <w:u w:val="single"/>
    </w:rPr>
  </w:style>
  <w:style w:type="character" w:customStyle="1" w:styleId="UnresolvedMention1">
    <w:name w:val="Unresolved Mention1"/>
    <w:basedOn w:val="DefaultParagraphFont"/>
    <w:uiPriority w:val="99"/>
    <w:semiHidden/>
    <w:unhideWhenUsed/>
    <w:rsid w:val="006C1115"/>
    <w:rPr>
      <w:color w:val="605E5C"/>
      <w:shd w:val="clear" w:color="auto" w:fill="E1DFDD"/>
    </w:rPr>
  </w:style>
  <w:style w:type="character" w:styleId="FollowedHyperlink">
    <w:name w:val="FollowedHyperlink"/>
    <w:basedOn w:val="DefaultParagraphFont"/>
    <w:uiPriority w:val="99"/>
    <w:semiHidden/>
    <w:unhideWhenUsed/>
    <w:rsid w:val="00245BA8"/>
    <w:rPr>
      <w:color w:val="954F72" w:themeColor="followedHyperlink"/>
      <w:u w:val="single"/>
    </w:rPr>
  </w:style>
  <w:style w:type="paragraph" w:styleId="BalloonText">
    <w:name w:val="Balloon Text"/>
    <w:basedOn w:val="Normal"/>
    <w:link w:val="BalloonTextChar"/>
    <w:uiPriority w:val="99"/>
    <w:semiHidden/>
    <w:unhideWhenUsed/>
    <w:rsid w:val="000C252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252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E62DD"/>
    <w:rPr>
      <w:sz w:val="16"/>
      <w:szCs w:val="16"/>
    </w:rPr>
  </w:style>
  <w:style w:type="paragraph" w:styleId="CommentText">
    <w:name w:val="annotation text"/>
    <w:basedOn w:val="Normal"/>
    <w:link w:val="CommentTextChar"/>
    <w:uiPriority w:val="99"/>
    <w:semiHidden/>
    <w:unhideWhenUsed/>
    <w:rsid w:val="004E62DD"/>
    <w:rPr>
      <w:sz w:val="20"/>
      <w:szCs w:val="20"/>
    </w:rPr>
  </w:style>
  <w:style w:type="character" w:customStyle="1" w:styleId="CommentTextChar">
    <w:name w:val="Comment Text Char"/>
    <w:basedOn w:val="DefaultParagraphFont"/>
    <w:link w:val="CommentText"/>
    <w:uiPriority w:val="99"/>
    <w:semiHidden/>
    <w:rsid w:val="004E62DD"/>
    <w:rPr>
      <w:sz w:val="20"/>
      <w:szCs w:val="20"/>
    </w:rPr>
  </w:style>
  <w:style w:type="paragraph" w:styleId="CommentSubject">
    <w:name w:val="annotation subject"/>
    <w:basedOn w:val="CommentText"/>
    <w:next w:val="CommentText"/>
    <w:link w:val="CommentSubjectChar"/>
    <w:uiPriority w:val="99"/>
    <w:semiHidden/>
    <w:unhideWhenUsed/>
    <w:rsid w:val="004E62DD"/>
    <w:rPr>
      <w:b/>
      <w:bCs/>
    </w:rPr>
  </w:style>
  <w:style w:type="character" w:customStyle="1" w:styleId="CommentSubjectChar">
    <w:name w:val="Comment Subject Char"/>
    <w:basedOn w:val="CommentTextChar"/>
    <w:link w:val="CommentSubject"/>
    <w:uiPriority w:val="99"/>
    <w:semiHidden/>
    <w:rsid w:val="004E62DD"/>
    <w:rPr>
      <w:b/>
      <w:bCs/>
      <w:sz w:val="20"/>
      <w:szCs w:val="20"/>
    </w:rPr>
  </w:style>
  <w:style w:type="character" w:customStyle="1" w:styleId="apple-converted-space">
    <w:name w:val="apple-converted-space"/>
    <w:basedOn w:val="DefaultParagraphFont"/>
    <w:rsid w:val="00F965D7"/>
  </w:style>
  <w:style w:type="table" w:styleId="TableGrid">
    <w:name w:val="Table Grid"/>
    <w:basedOn w:val="TableNormal"/>
    <w:uiPriority w:val="39"/>
    <w:rsid w:val="00F965D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33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m.illinois.edu/policies/hr-8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David</dc:creator>
  <cp:keywords/>
  <dc:description/>
  <cp:lastModifiedBy>Bachman, Bryan R</cp:lastModifiedBy>
  <cp:revision>2</cp:revision>
  <cp:lastPrinted>2020-04-08T19:01:00Z</cp:lastPrinted>
  <dcterms:created xsi:type="dcterms:W3CDTF">2020-05-07T15:48:00Z</dcterms:created>
  <dcterms:modified xsi:type="dcterms:W3CDTF">2020-05-07T15:48:00Z</dcterms:modified>
</cp:coreProperties>
</file>